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270E" w14:textId="77777777" w:rsidR="00FA2499" w:rsidRDefault="00000000">
      <w:pPr>
        <w:spacing w:before="200"/>
      </w:pPr>
      <w:r>
        <w:rPr>
          <w:b/>
          <w:bCs/>
          <w:color w:val="1B3A5C"/>
          <w:sz w:val="44"/>
          <w:szCs w:val="44"/>
        </w:rPr>
        <w:t>Course Accessibility Remediation</w:t>
      </w:r>
    </w:p>
    <w:p w14:paraId="68341767" w14:textId="77777777" w:rsidR="00FA2499" w:rsidRDefault="00000000">
      <w:pPr>
        <w:spacing w:before="80" w:after="40"/>
      </w:pPr>
      <w:r>
        <w:rPr>
          <w:color w:val="2D6DA4"/>
          <w:sz w:val="26"/>
          <w:szCs w:val="26"/>
        </w:rPr>
        <w:t>A Recommended Approach for Meeting DOJ Accessibility Requirements</w:t>
      </w:r>
    </w:p>
    <w:p w14:paraId="3172CA06" w14:textId="77777777" w:rsidR="00FA2499" w:rsidRDefault="00000000">
      <w:pPr>
        <w:pBdr>
          <w:bottom w:val="single" w:sz="8" w:space="6" w:color="D4A843"/>
        </w:pBdr>
        <w:spacing w:before="80" w:after="200"/>
      </w:pPr>
      <w:r>
        <w:rPr>
          <w:color w:val="666666"/>
          <w:sz w:val="18"/>
          <w:szCs w:val="18"/>
        </w:rPr>
        <w:t xml:space="preserve">Prepared by </w:t>
      </w:r>
      <w:proofErr w:type="gramStart"/>
      <w:r>
        <w:rPr>
          <w:color w:val="666666"/>
          <w:sz w:val="18"/>
          <w:szCs w:val="18"/>
        </w:rPr>
        <w:t>TILT  |</w:t>
      </w:r>
      <w:proofErr w:type="gramEnd"/>
      <w:r>
        <w:rPr>
          <w:color w:val="666666"/>
          <w:sz w:val="18"/>
          <w:szCs w:val="18"/>
        </w:rPr>
        <w:t xml:space="preserve">  February </w:t>
      </w:r>
      <w:proofErr w:type="gramStart"/>
      <w:r>
        <w:rPr>
          <w:color w:val="666666"/>
          <w:sz w:val="18"/>
          <w:szCs w:val="18"/>
        </w:rPr>
        <w:t>2026  |</w:t>
      </w:r>
      <w:proofErr w:type="gramEnd"/>
      <w:r>
        <w:rPr>
          <w:color w:val="666666"/>
          <w:sz w:val="18"/>
          <w:szCs w:val="18"/>
        </w:rPr>
        <w:t xml:space="preserve">  Fort Hays State University</w:t>
      </w:r>
    </w:p>
    <w:p w14:paraId="1BBD0879" w14:textId="77777777" w:rsidR="00FA2499" w:rsidRDefault="00000000">
      <w:pPr>
        <w:pStyle w:val="Heading1"/>
      </w:pPr>
      <w:r>
        <w:t>Overview</w:t>
      </w:r>
    </w:p>
    <w:p w14:paraId="3DFAB797" w14:textId="77777777" w:rsidR="00FA2499" w:rsidRDefault="00000000">
      <w:pPr>
        <w:spacing w:before="80" w:after="120"/>
      </w:pPr>
      <w:r>
        <w:rPr>
          <w:color w:val="1A1A1A"/>
        </w:rPr>
        <w:t>On April 24, 2026, new Department of Justice (DOJ) regulations under Title II of the Americans with Disabilities Act will require that all web content and mobile applications used by public entities, including course content delivered through learning management systems, conform to the Web Content Accessibility Guidelines (WCAG) 2.1, Level AA. As a Kansas Board of Regents institution whose service area extends well beyond the city of Hays—encompassing online learners, regional partners, and communities across the state and beyond—FHSU serves a population of 50,000 or more and is therefore subject to the earlier compliance deadline of April 24, 2026.</w:t>
      </w:r>
    </w:p>
    <w:p w14:paraId="5661E715" w14:textId="77777777" w:rsidR="00FA2499" w:rsidRPr="007C1B79" w:rsidRDefault="00000000">
      <w:pPr>
        <w:spacing w:before="80" w:after="120"/>
        <w:rPr>
          <w:b/>
          <w:bCs/>
        </w:rPr>
      </w:pPr>
      <w:r w:rsidRPr="007C1B79">
        <w:rPr>
          <w:b/>
          <w:bCs/>
          <w:color w:val="1A1A1A"/>
        </w:rPr>
        <w:t>While the compliance date falls within the current Spring 2026 semester, remediating courses mid-semester will not meaningfully benefit students enrolled in those sections right now. Instead, TILT recommends a strategic, forward-looking approach that aligns remediation efforts with the existing Summer/Fall 2026 course-copy cycle (approximately April through August). This approach is both more efficient and more impactful, ensuring that every course going forward meets accessibility standards from the first day students access it.</w:t>
      </w:r>
    </w:p>
    <w:p w14:paraId="04EAF88F" w14:textId="191A282A" w:rsidR="00FA2499" w:rsidRDefault="00000000">
      <w:pPr>
        <w:spacing w:before="80" w:after="120"/>
      </w:pPr>
      <w:r>
        <w:rPr>
          <w:color w:val="1A1A1A"/>
        </w:rPr>
        <w:t xml:space="preserve">Accessibility is not solely a compliance obligation. It is a student success </w:t>
      </w:r>
      <w:r w:rsidR="007C1B79">
        <w:rPr>
          <w:color w:val="1A1A1A"/>
        </w:rPr>
        <w:t>opportunity</w:t>
      </w:r>
      <w:r>
        <w:rPr>
          <w:color w:val="1A1A1A"/>
        </w:rPr>
        <w:t>. Accessible course design benefits students with documented disabilities, students using assistive technologies, mobile users, and students in low-bandwidth environments. Aligning remediation efforts with the course-copy cycle ensures both regulatory compliance and equitable access for all learners.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A2499" w14:paraId="42E47610" w14:textId="77777777">
        <w:tc>
          <w:tcPr>
            <w:tcW w:w="9360" w:type="dxa"/>
            <w:tcBorders>
              <w:top w:val="single" w:sz="1" w:space="0" w:color="D4A843"/>
              <w:left w:val="single" w:sz="12" w:space="0" w:color="D4A843"/>
              <w:bottom w:val="single" w:sz="1" w:space="0" w:color="D4A843"/>
              <w:right w:val="single" w:sz="1" w:space="0" w:color="D4A843"/>
            </w:tcBorders>
            <w:shd w:val="clear" w:color="auto" w:fill="FDF5E6"/>
            <w:tcMar>
              <w:top w:w="160" w:type="dxa"/>
              <w:left w:w="240" w:type="dxa"/>
              <w:bottom w:w="160" w:type="dxa"/>
              <w:right w:w="240" w:type="dxa"/>
            </w:tcMar>
          </w:tcPr>
          <w:p w14:paraId="454E36F4" w14:textId="77777777" w:rsidR="00FA2499" w:rsidRDefault="00000000">
            <w:pPr>
              <w:spacing w:after="80"/>
            </w:pPr>
            <w:r>
              <w:rPr>
                <w:b/>
                <w:bCs/>
                <w:color w:val="1B3A5C"/>
              </w:rPr>
              <w:t>Guiding Principle</w:t>
            </w:r>
          </w:p>
          <w:p w14:paraId="649F0089" w14:textId="77777777" w:rsidR="00FA2499" w:rsidRDefault="00000000">
            <w:r>
              <w:rPr>
                <w:i/>
                <w:iCs/>
                <w:color w:val="1A1A1A"/>
              </w:rPr>
              <w:t>Remediate once, at the source, before copying. A single accessible master shell prevents accessibility issues from multiplying across dozens of course sections. Individual course sections should be reviewed and cleaned up before the copy cycle so that only necessary, accessible content moves forward.</w:t>
            </w:r>
          </w:p>
        </w:tc>
      </w:tr>
    </w:tbl>
    <w:p w14:paraId="51922C09" w14:textId="77777777" w:rsidR="00FA2499" w:rsidRDefault="00000000">
      <w:pPr>
        <w:pStyle w:val="Heading1"/>
      </w:pPr>
      <w:r>
        <w:t>Recommendations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A2499" w14:paraId="58DA8B00" w14:textId="77777777">
        <w:tc>
          <w:tcPr>
            <w:tcW w:w="9360" w:type="dxa"/>
            <w:shd w:val="clear" w:color="auto" w:fill="1B3A5C"/>
            <w:tcMar>
              <w:top w:w="100" w:type="dxa"/>
              <w:left w:w="160" w:type="dxa"/>
              <w:bottom w:w="100" w:type="dxa"/>
              <w:right w:w="160" w:type="dxa"/>
            </w:tcMar>
          </w:tcPr>
          <w:p w14:paraId="6FB04882" w14:textId="77777777" w:rsidR="00FA2499" w:rsidRDefault="00000000">
            <w:r>
              <w:rPr>
                <w:b/>
                <w:bCs/>
                <w:color w:val="FFFFFF"/>
              </w:rPr>
              <w:t>Recommendation 1: Remediate All Active Master Shells Before Course Copying</w:t>
            </w:r>
          </w:p>
        </w:tc>
      </w:tr>
      <w:tr w:rsidR="00FA2499" w14:paraId="1A15EE8B" w14:textId="77777777">
        <w:tc>
          <w:tcPr>
            <w:tcW w:w="9360" w:type="dxa"/>
            <w:tcBorders>
              <w:left w:val="single" w:sz="1" w:space="0" w:color="CCCCCC"/>
              <w:bottom w:val="single" w:sz="1" w:space="0" w:color="CCCCCC"/>
              <w:right w:val="single" w:sz="1" w:space="0" w:color="CCCCCC"/>
            </w:tcBorders>
            <w:shd w:val="clear" w:color="auto" w:fill="FFFFFF"/>
            <w:tcMar>
              <w:top w:w="120" w:type="dxa"/>
              <w:left w:w="200" w:type="dxa"/>
              <w:bottom w:w="120" w:type="dxa"/>
              <w:right w:w="200" w:type="dxa"/>
            </w:tcMar>
          </w:tcPr>
          <w:p w14:paraId="53136EDE" w14:textId="66976112" w:rsidR="00FA2499" w:rsidRDefault="00000000">
            <w:pPr>
              <w:spacing w:before="80" w:after="80"/>
            </w:pPr>
            <w:r>
              <w:rPr>
                <w:color w:val="1A1A1A"/>
                <w:sz w:val="20"/>
                <w:szCs w:val="20"/>
              </w:rPr>
              <w:t xml:space="preserve">Approximately 1,100 master course shells have been identified across the university. Because a single master shell may be copied into </w:t>
            </w:r>
            <w:r w:rsidR="00182A47">
              <w:rPr>
                <w:color w:val="1A1A1A"/>
                <w:sz w:val="20"/>
                <w:szCs w:val="20"/>
              </w:rPr>
              <w:t>multiple</w:t>
            </w:r>
            <w:r>
              <w:rPr>
                <w:color w:val="1A1A1A"/>
                <w:sz w:val="20"/>
                <w:szCs w:val="20"/>
              </w:rPr>
              <w:t xml:space="preserve"> individual course sections each semester, remediating at the shell level is dramatically more efficient than remediating each distributed copy individually.</w:t>
            </w:r>
          </w:p>
          <w:p w14:paraId="2B911BC2" w14:textId="77777777" w:rsidR="00FA2499" w:rsidRDefault="00FA2499">
            <w:pPr>
              <w:spacing w:before="80" w:after="80"/>
            </w:pPr>
          </w:p>
          <w:p w14:paraId="78E2A489" w14:textId="77777777" w:rsidR="00FA2499" w:rsidRDefault="00000000">
            <w:pPr>
              <w:spacing w:before="80" w:after="80"/>
            </w:pPr>
            <w:r>
              <w:rPr>
                <w:color w:val="1A1A1A"/>
                <w:sz w:val="20"/>
                <w:szCs w:val="20"/>
              </w:rPr>
              <w:lastRenderedPageBreak/>
              <w:t>TILT recommends that all active master shells be reviewed and brought into compliance before they are copied for Summer and Fall 2026. This prevents inaccessible content from propagating into new sections and ensures every student receives accessible materials from day one.</w:t>
            </w:r>
          </w:p>
          <w:p w14:paraId="29CF0B6A" w14:textId="77777777" w:rsidR="00FA2499" w:rsidRDefault="00FA2499">
            <w:pPr>
              <w:spacing w:before="80" w:after="80"/>
            </w:pPr>
          </w:p>
          <w:p w14:paraId="06F5ADB7" w14:textId="77777777" w:rsidR="00FA2499" w:rsidRDefault="00000000">
            <w:pPr>
              <w:spacing w:before="80" w:after="80"/>
            </w:pPr>
            <w:r>
              <w:rPr>
                <w:color w:val="1A1A1A"/>
                <w:sz w:val="20"/>
                <w:szCs w:val="20"/>
              </w:rPr>
              <w:t>Note: Some courses function as de facto master shells even though they are not formally labeled as such. Departments will need to help identify these courses beyond standard naming conventions.</w:t>
            </w:r>
          </w:p>
        </w:tc>
      </w:tr>
      <w:tr w:rsidR="00FA2499" w14:paraId="31716770" w14:textId="77777777">
        <w:tc>
          <w:tcPr>
            <w:tcW w:w="9360" w:type="dxa"/>
            <w:shd w:val="clear" w:color="auto" w:fill="2D6DA4"/>
            <w:tcMar>
              <w:top w:w="100" w:type="dxa"/>
              <w:left w:w="160" w:type="dxa"/>
              <w:bottom w:w="100" w:type="dxa"/>
              <w:right w:w="160" w:type="dxa"/>
            </w:tcMar>
          </w:tcPr>
          <w:p w14:paraId="566D12A7" w14:textId="77777777" w:rsidR="00FA2499" w:rsidRDefault="00000000">
            <w:r>
              <w:rPr>
                <w:b/>
                <w:bCs/>
                <w:color w:val="FFFFFF"/>
              </w:rPr>
              <w:lastRenderedPageBreak/>
              <w:t>Recommendation 2: Review Individual Instructor Courses Before the Copy Cycle</w:t>
            </w:r>
          </w:p>
        </w:tc>
      </w:tr>
      <w:tr w:rsidR="00FA2499" w14:paraId="514412B3" w14:textId="77777777">
        <w:tc>
          <w:tcPr>
            <w:tcW w:w="9360" w:type="dxa"/>
            <w:tcBorders>
              <w:left w:val="single" w:sz="1" w:space="0" w:color="CCCCCC"/>
              <w:bottom w:val="single" w:sz="1" w:space="0" w:color="CCCCCC"/>
              <w:right w:val="single" w:sz="1" w:space="0" w:color="CCCCCC"/>
            </w:tcBorders>
            <w:shd w:val="clear" w:color="auto" w:fill="FFFFFF"/>
            <w:tcMar>
              <w:top w:w="120" w:type="dxa"/>
              <w:left w:w="200" w:type="dxa"/>
              <w:bottom w:w="120" w:type="dxa"/>
              <w:right w:w="200" w:type="dxa"/>
            </w:tcMar>
          </w:tcPr>
          <w:p w14:paraId="6699F433" w14:textId="1280C54D" w:rsidR="00FA2499" w:rsidRDefault="00000000">
            <w:pPr>
              <w:spacing w:before="80" w:after="80"/>
            </w:pPr>
            <w:r>
              <w:rPr>
                <w:color w:val="1A1A1A"/>
                <w:sz w:val="20"/>
                <w:szCs w:val="20"/>
              </w:rPr>
              <w:t>For courses managed by individual instructors (i.e., not governed by a master shell), TILT recommends that instructors review their course content in the Spring 2026 semester and make necessary accessibility changes before their courses are copied for Summer or Fall.</w:t>
            </w:r>
          </w:p>
          <w:p w14:paraId="3B3A316D" w14:textId="77777777" w:rsidR="00FA2499" w:rsidRDefault="00FA2499">
            <w:pPr>
              <w:spacing w:before="80" w:after="80"/>
            </w:pPr>
          </w:p>
          <w:p w14:paraId="428707D3" w14:textId="7EB647D3" w:rsidR="00FA2499" w:rsidRDefault="00000000">
            <w:pPr>
              <w:spacing w:before="80" w:after="80"/>
            </w:pPr>
            <w:r>
              <w:rPr>
                <w:color w:val="1A1A1A"/>
                <w:sz w:val="20"/>
                <w:szCs w:val="20"/>
              </w:rPr>
              <w:t xml:space="preserve">This timing allows instructors to review their course materials in context, identify what content is still needed moving forward, and remediate only the materials that will </w:t>
            </w:r>
            <w:proofErr w:type="gramStart"/>
            <w:r>
              <w:rPr>
                <w:color w:val="1A1A1A"/>
                <w:sz w:val="20"/>
                <w:szCs w:val="20"/>
              </w:rPr>
              <w:t>actually be</w:t>
            </w:r>
            <w:proofErr w:type="gramEnd"/>
            <w:r>
              <w:rPr>
                <w:color w:val="1A1A1A"/>
                <w:sz w:val="20"/>
                <w:szCs w:val="20"/>
              </w:rPr>
              <w:t xml:space="preserve"> carried into the next semester. This is far more efficient than remediating an entire course only to discard some of its content during the copy process.</w:t>
            </w:r>
          </w:p>
        </w:tc>
      </w:tr>
    </w:tbl>
    <w:p w14:paraId="3B8E5031" w14:textId="77777777" w:rsidR="00FA2499" w:rsidRDefault="00000000">
      <w:pPr>
        <w:pStyle w:val="Heading2"/>
      </w:pPr>
      <w:r>
        <w:t>A Note on Adjunct Faculty</w:t>
      </w:r>
    </w:p>
    <w:p w14:paraId="5DA7489B" w14:textId="4D7253E4" w:rsidR="00FA2499" w:rsidRDefault="00000000">
      <w:pPr>
        <w:spacing w:before="80" w:after="120"/>
      </w:pPr>
      <w:r>
        <w:rPr>
          <w:color w:val="1A1A1A"/>
        </w:rPr>
        <w:t xml:space="preserve">Many adjunct faculty teach from courses they did not create content drawn from master shells or program-controlled materials. Because adjuncts </w:t>
      </w:r>
      <w:r w:rsidR="007C1B79">
        <w:rPr>
          <w:color w:val="1A1A1A"/>
        </w:rPr>
        <w:t>may not or</w:t>
      </w:r>
      <w:r>
        <w:rPr>
          <w:color w:val="1A1A1A"/>
        </w:rPr>
        <w:t xml:space="preserve"> cannot modify these materials, responsibility for accessibility remediation should rest with program directors or course owners, not with individual adjunct instructors</w:t>
      </w:r>
      <w:r w:rsidR="007C1B79">
        <w:rPr>
          <w:color w:val="1A1A1A"/>
        </w:rPr>
        <w:t>, unless the program instructs otherwise</w:t>
      </w:r>
      <w:r>
        <w:rPr>
          <w:color w:val="1A1A1A"/>
        </w:rPr>
        <w:t xml:space="preserve">. TILT recognizes that this distinction is important for reducing </w:t>
      </w:r>
      <w:r w:rsidR="007C1B79">
        <w:rPr>
          <w:color w:val="1A1A1A"/>
        </w:rPr>
        <w:t>workload and potential confusion</w:t>
      </w:r>
      <w:r>
        <w:rPr>
          <w:color w:val="1A1A1A"/>
        </w:rPr>
        <w:t xml:space="preserve"> among adjunct faculty and </w:t>
      </w:r>
      <w:r w:rsidR="00182A47">
        <w:rPr>
          <w:color w:val="1A1A1A"/>
        </w:rPr>
        <w:t xml:space="preserve">for </w:t>
      </w:r>
      <w:r>
        <w:rPr>
          <w:color w:val="1A1A1A"/>
        </w:rPr>
        <w:t>ensuring that remediation is carried out by those w</w:t>
      </w:r>
      <w:r w:rsidR="00182A47">
        <w:rPr>
          <w:color w:val="1A1A1A"/>
        </w:rPr>
        <w:t>ith</w:t>
      </w:r>
      <w:r>
        <w:rPr>
          <w:color w:val="1A1A1A"/>
        </w:rPr>
        <w:t xml:space="preserve"> the authority to make </w:t>
      </w:r>
      <w:r w:rsidR="007C1B79">
        <w:rPr>
          <w:color w:val="1A1A1A"/>
        </w:rPr>
        <w:t>the</w:t>
      </w:r>
      <w:r>
        <w:rPr>
          <w:color w:val="1A1A1A"/>
        </w:rPr>
        <w:t xml:space="preserve"> changes.</w:t>
      </w:r>
    </w:p>
    <w:p w14:paraId="75995638" w14:textId="77777777" w:rsidR="00FA2499" w:rsidRDefault="00000000">
      <w:r>
        <w:br w:type="page"/>
      </w:r>
    </w:p>
    <w:p w14:paraId="168DA279" w14:textId="77777777" w:rsidR="00FA2499" w:rsidRDefault="00000000">
      <w:pPr>
        <w:pStyle w:val="Heading1"/>
      </w:pPr>
      <w:r>
        <w:lastRenderedPageBreak/>
        <w:t>Recommended Timeline</w:t>
      </w:r>
    </w:p>
    <w:p w14:paraId="529EC6A9" w14:textId="77777777" w:rsidR="00FA2499" w:rsidRDefault="00000000">
      <w:pPr>
        <w:spacing w:before="80" w:after="160"/>
      </w:pPr>
      <w:r>
        <w:rPr>
          <w:color w:val="1A1A1A"/>
        </w:rPr>
        <w:t>The following timeline aligns accessibility remediation with the existing course-copy cycle. Placeholder dates are provided and should be adjusted based on departmental schedules and university deadlines.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
        <w:gridCol w:w="190"/>
        <w:gridCol w:w="2199"/>
        <w:gridCol w:w="2158"/>
        <w:gridCol w:w="4794"/>
        <w:gridCol w:w="10"/>
      </w:tblGrid>
      <w:tr w:rsidR="00FA2499" w14:paraId="7B60E7C2" w14:textId="77777777">
        <w:trPr>
          <w:gridAfter w:val="1"/>
          <w:wAfter w:w="10" w:type="dxa"/>
          <w:tblHeader/>
        </w:trPr>
        <w:tc>
          <w:tcPr>
            <w:tcW w:w="200" w:type="dxa"/>
            <w:gridSpan w:val="2"/>
            <w:shd w:val="clear" w:color="auto" w:fill="1B3A5C"/>
            <w:tcMar>
              <w:top w:w="0" w:type="dxa"/>
              <w:left w:w="0" w:type="dxa"/>
              <w:bottom w:w="0" w:type="dxa"/>
              <w:right w:w="0" w:type="dxa"/>
            </w:tcMar>
          </w:tcPr>
          <w:p w14:paraId="30381EE8" w14:textId="77777777" w:rsidR="00FA2499" w:rsidRDefault="00FA2499"/>
        </w:tc>
        <w:tc>
          <w:tcPr>
            <w:tcW w:w="2200" w:type="dxa"/>
            <w:shd w:val="clear" w:color="auto" w:fill="1B3A5C"/>
            <w:tcMar>
              <w:top w:w="120" w:type="dxa"/>
              <w:left w:w="160" w:type="dxa"/>
              <w:bottom w:w="120" w:type="dxa"/>
              <w:right w:w="160" w:type="dxa"/>
            </w:tcMar>
          </w:tcPr>
          <w:p w14:paraId="74067821" w14:textId="77777777" w:rsidR="00FA2499" w:rsidRDefault="00000000">
            <w:pPr>
              <w:spacing w:before="40" w:after="40"/>
            </w:pPr>
            <w:r>
              <w:rPr>
                <w:b/>
                <w:bCs/>
                <w:color w:val="FFFFFF"/>
                <w:sz w:val="18"/>
                <w:szCs w:val="18"/>
              </w:rPr>
              <w:t>PHASE</w:t>
            </w:r>
          </w:p>
        </w:tc>
        <w:tc>
          <w:tcPr>
            <w:tcW w:w="2160" w:type="dxa"/>
            <w:shd w:val="clear" w:color="auto" w:fill="1B3A5C"/>
            <w:tcMar>
              <w:top w:w="120" w:type="dxa"/>
              <w:left w:w="160" w:type="dxa"/>
              <w:bottom w:w="120" w:type="dxa"/>
              <w:right w:w="160" w:type="dxa"/>
            </w:tcMar>
          </w:tcPr>
          <w:p w14:paraId="373B7FA0" w14:textId="77777777" w:rsidR="00FA2499" w:rsidRDefault="00000000">
            <w:pPr>
              <w:spacing w:before="40" w:after="40"/>
            </w:pPr>
            <w:r>
              <w:rPr>
                <w:b/>
                <w:bCs/>
                <w:color w:val="FFFFFF"/>
                <w:sz w:val="18"/>
                <w:szCs w:val="18"/>
              </w:rPr>
              <w:t>TARGET DATE</w:t>
            </w:r>
          </w:p>
        </w:tc>
        <w:tc>
          <w:tcPr>
            <w:tcW w:w="4800" w:type="dxa"/>
            <w:shd w:val="clear" w:color="auto" w:fill="1B3A5C"/>
            <w:tcMar>
              <w:top w:w="120" w:type="dxa"/>
              <w:left w:w="160" w:type="dxa"/>
              <w:bottom w:w="120" w:type="dxa"/>
              <w:right w:w="160" w:type="dxa"/>
            </w:tcMar>
          </w:tcPr>
          <w:p w14:paraId="009BFDB6" w14:textId="77777777" w:rsidR="00FA2499" w:rsidRDefault="00000000">
            <w:pPr>
              <w:spacing w:before="40" w:after="40"/>
            </w:pPr>
            <w:r>
              <w:rPr>
                <w:b/>
                <w:bCs/>
                <w:color w:val="FFFFFF"/>
                <w:sz w:val="18"/>
                <w:szCs w:val="18"/>
              </w:rPr>
              <w:t>ACTION ITEMS</w:t>
            </w:r>
          </w:p>
        </w:tc>
      </w:tr>
      <w:tr w:rsidR="00FA2499" w14:paraId="53F1534A" w14:textId="77777777">
        <w:trPr>
          <w:gridAfter w:val="1"/>
          <w:wAfter w:w="10" w:type="dxa"/>
        </w:trPr>
        <w:tc>
          <w:tcPr>
            <w:tcW w:w="200" w:type="dxa"/>
            <w:gridSpan w:val="2"/>
            <w:shd w:val="clear" w:color="auto" w:fill="D4A843"/>
            <w:tcMar>
              <w:top w:w="0" w:type="dxa"/>
              <w:left w:w="0" w:type="dxa"/>
              <w:bottom w:w="0" w:type="dxa"/>
              <w:right w:w="0" w:type="dxa"/>
            </w:tcMar>
            <w:vAlign w:val="center"/>
          </w:tcPr>
          <w:p w14:paraId="4FA809F8" w14:textId="77777777" w:rsidR="00FA2499" w:rsidRDefault="00000000">
            <w:r>
              <w:rPr>
                <w:sz w:val="16"/>
                <w:szCs w:val="16"/>
              </w:rPr>
              <w:t xml:space="preserve"> </w:t>
            </w:r>
          </w:p>
        </w:tc>
        <w:tc>
          <w:tcPr>
            <w:tcW w:w="2200" w:type="dxa"/>
            <w:shd w:val="clear" w:color="auto" w:fill="FFFFFF"/>
            <w:tcMar>
              <w:top w:w="120" w:type="dxa"/>
              <w:left w:w="160" w:type="dxa"/>
              <w:bottom w:w="120" w:type="dxa"/>
              <w:right w:w="160" w:type="dxa"/>
            </w:tcMar>
            <w:vAlign w:val="center"/>
          </w:tcPr>
          <w:p w14:paraId="7C934422" w14:textId="77777777" w:rsidR="00FA2499" w:rsidRDefault="00000000">
            <w:pPr>
              <w:spacing w:before="40" w:after="40"/>
            </w:pPr>
            <w:r>
              <w:rPr>
                <w:b/>
                <w:bCs/>
                <w:color w:val="1B3A5C"/>
                <w:sz w:val="20"/>
                <w:szCs w:val="20"/>
              </w:rPr>
              <w:t>Awareness &amp; Outreach</w:t>
            </w:r>
          </w:p>
        </w:tc>
        <w:tc>
          <w:tcPr>
            <w:tcW w:w="2160" w:type="dxa"/>
            <w:shd w:val="clear" w:color="auto" w:fill="FFFFFF"/>
            <w:tcMar>
              <w:top w:w="120" w:type="dxa"/>
              <w:left w:w="160" w:type="dxa"/>
              <w:bottom w:w="120" w:type="dxa"/>
              <w:right w:w="160" w:type="dxa"/>
            </w:tcMar>
            <w:vAlign w:val="center"/>
          </w:tcPr>
          <w:p w14:paraId="38A9D2C6" w14:textId="77777777" w:rsidR="00FA2499" w:rsidRDefault="00000000">
            <w:pPr>
              <w:spacing w:before="40" w:after="40"/>
            </w:pPr>
            <w:r>
              <w:rPr>
                <w:color w:val="666666"/>
                <w:sz w:val="20"/>
                <w:szCs w:val="20"/>
              </w:rPr>
              <w:t>[Feb – Mar 2026]</w:t>
            </w:r>
          </w:p>
        </w:tc>
        <w:tc>
          <w:tcPr>
            <w:tcW w:w="4800" w:type="dxa"/>
            <w:shd w:val="clear" w:color="auto" w:fill="FFFFFF"/>
            <w:tcMar>
              <w:top w:w="120" w:type="dxa"/>
              <w:left w:w="160" w:type="dxa"/>
              <w:bottom w:w="120" w:type="dxa"/>
              <w:right w:w="160" w:type="dxa"/>
            </w:tcMar>
            <w:vAlign w:val="center"/>
          </w:tcPr>
          <w:p w14:paraId="6607CA86" w14:textId="77777777" w:rsidR="00FA2499" w:rsidRDefault="00000000">
            <w:pPr>
              <w:spacing w:before="40" w:after="40"/>
            </w:pPr>
            <w:r>
              <w:rPr>
                <w:color w:val="1A1A1A"/>
                <w:sz w:val="20"/>
                <w:szCs w:val="20"/>
              </w:rPr>
              <w:t>Conduct departmental outreach meetings (modeled on AEP meeting). Share Blackboard Ally reports organized by department. Clarify roles and responsibilities for remediation.</w:t>
            </w:r>
          </w:p>
        </w:tc>
      </w:tr>
      <w:tr w:rsidR="00FA2499" w14:paraId="4112EEAD" w14:textId="77777777">
        <w:trPr>
          <w:gridAfter w:val="1"/>
          <w:wAfter w:w="10" w:type="dxa"/>
          <w:trHeight w:hRule="exact" w:val="60"/>
        </w:trPr>
        <w:tc>
          <w:tcPr>
            <w:tcW w:w="200" w:type="dxa"/>
            <w:gridSpan w:val="2"/>
            <w:shd w:val="clear" w:color="auto" w:fill="FFFFFF"/>
          </w:tcPr>
          <w:p w14:paraId="6C152B33" w14:textId="77777777" w:rsidR="00FA2499" w:rsidRDefault="00FA2499"/>
        </w:tc>
        <w:tc>
          <w:tcPr>
            <w:tcW w:w="2200" w:type="dxa"/>
            <w:shd w:val="clear" w:color="auto" w:fill="FFFFFF"/>
          </w:tcPr>
          <w:p w14:paraId="03274442" w14:textId="77777777" w:rsidR="00FA2499" w:rsidRDefault="00FA2499"/>
        </w:tc>
        <w:tc>
          <w:tcPr>
            <w:tcW w:w="2160" w:type="dxa"/>
            <w:shd w:val="clear" w:color="auto" w:fill="FFFFFF"/>
          </w:tcPr>
          <w:p w14:paraId="14724DB4" w14:textId="77777777" w:rsidR="00FA2499" w:rsidRDefault="00FA2499"/>
        </w:tc>
        <w:tc>
          <w:tcPr>
            <w:tcW w:w="4800" w:type="dxa"/>
            <w:shd w:val="clear" w:color="auto" w:fill="FFFFFF"/>
          </w:tcPr>
          <w:p w14:paraId="001BAEF0" w14:textId="77777777" w:rsidR="00FA2499" w:rsidRDefault="00FA2499"/>
        </w:tc>
      </w:tr>
      <w:tr w:rsidR="00FA2499" w14:paraId="324DD0D3" w14:textId="77777777">
        <w:trPr>
          <w:gridAfter w:val="1"/>
          <w:wAfter w:w="10" w:type="dxa"/>
        </w:trPr>
        <w:tc>
          <w:tcPr>
            <w:tcW w:w="200" w:type="dxa"/>
            <w:gridSpan w:val="2"/>
            <w:shd w:val="clear" w:color="auto" w:fill="5BA87F"/>
            <w:tcMar>
              <w:top w:w="0" w:type="dxa"/>
              <w:left w:w="0" w:type="dxa"/>
              <w:bottom w:w="0" w:type="dxa"/>
              <w:right w:w="0" w:type="dxa"/>
            </w:tcMar>
            <w:vAlign w:val="center"/>
          </w:tcPr>
          <w:p w14:paraId="0E5B3340" w14:textId="77777777" w:rsidR="00FA2499" w:rsidRDefault="00000000">
            <w:r>
              <w:rPr>
                <w:sz w:val="16"/>
                <w:szCs w:val="16"/>
              </w:rPr>
              <w:t xml:space="preserve"> </w:t>
            </w:r>
          </w:p>
        </w:tc>
        <w:tc>
          <w:tcPr>
            <w:tcW w:w="2200" w:type="dxa"/>
            <w:shd w:val="clear" w:color="auto" w:fill="FFFFFF"/>
            <w:tcMar>
              <w:top w:w="120" w:type="dxa"/>
              <w:left w:w="160" w:type="dxa"/>
              <w:bottom w:w="120" w:type="dxa"/>
              <w:right w:w="160" w:type="dxa"/>
            </w:tcMar>
            <w:vAlign w:val="center"/>
          </w:tcPr>
          <w:p w14:paraId="5BC9DC4A" w14:textId="77777777" w:rsidR="00FA2499" w:rsidRDefault="00000000">
            <w:pPr>
              <w:spacing w:before="40" w:after="40"/>
            </w:pPr>
            <w:r>
              <w:rPr>
                <w:b/>
                <w:bCs/>
                <w:color w:val="1B3A5C"/>
                <w:sz w:val="20"/>
                <w:szCs w:val="20"/>
              </w:rPr>
              <w:t>Master Shell Remediation</w:t>
            </w:r>
          </w:p>
        </w:tc>
        <w:tc>
          <w:tcPr>
            <w:tcW w:w="2160" w:type="dxa"/>
            <w:shd w:val="clear" w:color="auto" w:fill="FFFFFF"/>
            <w:tcMar>
              <w:top w:w="120" w:type="dxa"/>
              <w:left w:w="160" w:type="dxa"/>
              <w:bottom w:w="120" w:type="dxa"/>
              <w:right w:w="160" w:type="dxa"/>
            </w:tcMar>
            <w:vAlign w:val="center"/>
          </w:tcPr>
          <w:p w14:paraId="6A14EC01" w14:textId="77777777" w:rsidR="00FA2499" w:rsidRDefault="00000000">
            <w:pPr>
              <w:spacing w:before="40" w:after="40"/>
            </w:pPr>
            <w:r>
              <w:rPr>
                <w:color w:val="666666"/>
                <w:sz w:val="20"/>
                <w:szCs w:val="20"/>
              </w:rPr>
              <w:t>[Mar – Apr 2026]</w:t>
            </w:r>
          </w:p>
        </w:tc>
        <w:tc>
          <w:tcPr>
            <w:tcW w:w="4800" w:type="dxa"/>
            <w:shd w:val="clear" w:color="auto" w:fill="FFFFFF"/>
            <w:tcMar>
              <w:top w:w="120" w:type="dxa"/>
              <w:left w:w="160" w:type="dxa"/>
              <w:bottom w:w="120" w:type="dxa"/>
              <w:right w:w="160" w:type="dxa"/>
            </w:tcMar>
            <w:vAlign w:val="center"/>
          </w:tcPr>
          <w:p w14:paraId="3FAEDC7F" w14:textId="77777777" w:rsidR="00FA2499" w:rsidRDefault="00000000">
            <w:pPr>
              <w:spacing w:before="40" w:after="40"/>
            </w:pPr>
            <w:r>
              <w:rPr>
                <w:color w:val="1A1A1A"/>
                <w:sz w:val="20"/>
                <w:szCs w:val="20"/>
              </w:rPr>
              <w:t>Prioritize remediation of active master shells. Focus on resolving major accessibility barriers first (use Ally scores as a guide, not a checklist). Departments identify unlabeled de facto master shells.</w:t>
            </w:r>
          </w:p>
        </w:tc>
      </w:tr>
      <w:tr w:rsidR="00FA2499" w14:paraId="3A0795C9" w14:textId="77777777">
        <w:trPr>
          <w:gridAfter w:val="1"/>
          <w:wAfter w:w="10" w:type="dxa"/>
          <w:trHeight w:hRule="exact" w:val="60"/>
        </w:trPr>
        <w:tc>
          <w:tcPr>
            <w:tcW w:w="200" w:type="dxa"/>
            <w:gridSpan w:val="2"/>
            <w:shd w:val="clear" w:color="auto" w:fill="FFFFFF"/>
          </w:tcPr>
          <w:p w14:paraId="6E50FC93" w14:textId="77777777" w:rsidR="00FA2499" w:rsidRDefault="00FA2499"/>
        </w:tc>
        <w:tc>
          <w:tcPr>
            <w:tcW w:w="2200" w:type="dxa"/>
            <w:shd w:val="clear" w:color="auto" w:fill="FFFFFF"/>
          </w:tcPr>
          <w:p w14:paraId="33F69002" w14:textId="77777777" w:rsidR="00FA2499" w:rsidRDefault="00FA2499"/>
        </w:tc>
        <w:tc>
          <w:tcPr>
            <w:tcW w:w="2160" w:type="dxa"/>
            <w:shd w:val="clear" w:color="auto" w:fill="FFFFFF"/>
          </w:tcPr>
          <w:p w14:paraId="14FF7944" w14:textId="77777777" w:rsidR="00FA2499" w:rsidRDefault="00FA2499"/>
        </w:tc>
        <w:tc>
          <w:tcPr>
            <w:tcW w:w="4800" w:type="dxa"/>
            <w:shd w:val="clear" w:color="auto" w:fill="FFFFFF"/>
          </w:tcPr>
          <w:p w14:paraId="27DBE5B2" w14:textId="77777777" w:rsidR="00FA2499" w:rsidRDefault="00FA2499"/>
        </w:tc>
      </w:tr>
      <w:tr w:rsidR="00FA2499" w14:paraId="782FF79B" w14:textId="77777777">
        <w:trPr>
          <w:gridAfter w:val="1"/>
          <w:wAfter w:w="10" w:type="dxa"/>
        </w:trPr>
        <w:tc>
          <w:tcPr>
            <w:tcW w:w="200" w:type="dxa"/>
            <w:gridSpan w:val="2"/>
            <w:shd w:val="clear" w:color="auto" w:fill="2D6DA4"/>
            <w:tcMar>
              <w:top w:w="0" w:type="dxa"/>
              <w:left w:w="0" w:type="dxa"/>
              <w:bottom w:w="0" w:type="dxa"/>
              <w:right w:w="0" w:type="dxa"/>
            </w:tcMar>
            <w:vAlign w:val="center"/>
          </w:tcPr>
          <w:p w14:paraId="500A1BBB" w14:textId="77777777" w:rsidR="00FA2499" w:rsidRDefault="00000000">
            <w:r>
              <w:rPr>
                <w:sz w:val="16"/>
                <w:szCs w:val="16"/>
              </w:rPr>
              <w:t xml:space="preserve"> </w:t>
            </w:r>
          </w:p>
        </w:tc>
        <w:tc>
          <w:tcPr>
            <w:tcW w:w="2200" w:type="dxa"/>
            <w:shd w:val="clear" w:color="auto" w:fill="FFFFFF"/>
            <w:tcMar>
              <w:top w:w="120" w:type="dxa"/>
              <w:left w:w="160" w:type="dxa"/>
              <w:bottom w:w="120" w:type="dxa"/>
              <w:right w:w="160" w:type="dxa"/>
            </w:tcMar>
            <w:vAlign w:val="center"/>
          </w:tcPr>
          <w:p w14:paraId="2ED6BB5D" w14:textId="77777777" w:rsidR="00FA2499" w:rsidRDefault="00000000">
            <w:pPr>
              <w:spacing w:before="40" w:after="40"/>
            </w:pPr>
            <w:r>
              <w:rPr>
                <w:b/>
                <w:bCs/>
                <w:color w:val="1B3A5C"/>
                <w:sz w:val="20"/>
                <w:szCs w:val="20"/>
              </w:rPr>
              <w:t>DOJ Compliance Deadline</w:t>
            </w:r>
          </w:p>
        </w:tc>
        <w:tc>
          <w:tcPr>
            <w:tcW w:w="2160" w:type="dxa"/>
            <w:shd w:val="clear" w:color="auto" w:fill="FFFFFF"/>
            <w:tcMar>
              <w:top w:w="120" w:type="dxa"/>
              <w:left w:w="160" w:type="dxa"/>
              <w:bottom w:w="120" w:type="dxa"/>
              <w:right w:w="160" w:type="dxa"/>
            </w:tcMar>
            <w:vAlign w:val="center"/>
          </w:tcPr>
          <w:p w14:paraId="7EDE9DDF" w14:textId="77777777" w:rsidR="00FA2499" w:rsidRDefault="00000000">
            <w:pPr>
              <w:spacing w:before="40" w:after="40"/>
            </w:pPr>
            <w:r>
              <w:rPr>
                <w:color w:val="666666"/>
                <w:sz w:val="20"/>
                <w:szCs w:val="20"/>
              </w:rPr>
              <w:t>April 24, 2026</w:t>
            </w:r>
          </w:p>
        </w:tc>
        <w:tc>
          <w:tcPr>
            <w:tcW w:w="4800" w:type="dxa"/>
            <w:shd w:val="clear" w:color="auto" w:fill="FFFFFF"/>
            <w:tcMar>
              <w:top w:w="120" w:type="dxa"/>
              <w:left w:w="160" w:type="dxa"/>
              <w:bottom w:w="120" w:type="dxa"/>
              <w:right w:w="160" w:type="dxa"/>
            </w:tcMar>
            <w:vAlign w:val="center"/>
          </w:tcPr>
          <w:p w14:paraId="3D5B71F7" w14:textId="77777777" w:rsidR="00FA2499" w:rsidRDefault="00000000">
            <w:pPr>
              <w:spacing w:before="40" w:after="40"/>
            </w:pPr>
            <w:r>
              <w:rPr>
                <w:color w:val="1A1A1A"/>
                <w:sz w:val="20"/>
                <w:szCs w:val="20"/>
              </w:rPr>
              <w:t>Federal compliance date takes effect. All new and modified web content must meet WCAG 2.1 AA. FHSU documents and demonstrates good-faith remediation efforts aligned with federal requirements.</w:t>
            </w:r>
          </w:p>
        </w:tc>
      </w:tr>
      <w:tr w:rsidR="00FA2499" w14:paraId="08B8CFE5" w14:textId="77777777">
        <w:trPr>
          <w:gridAfter w:val="1"/>
          <w:wAfter w:w="10" w:type="dxa"/>
          <w:trHeight w:hRule="exact" w:val="60"/>
        </w:trPr>
        <w:tc>
          <w:tcPr>
            <w:tcW w:w="200" w:type="dxa"/>
            <w:gridSpan w:val="2"/>
            <w:shd w:val="clear" w:color="auto" w:fill="FFFFFF"/>
          </w:tcPr>
          <w:p w14:paraId="633ADE35" w14:textId="77777777" w:rsidR="00FA2499" w:rsidRDefault="00FA2499"/>
        </w:tc>
        <w:tc>
          <w:tcPr>
            <w:tcW w:w="2200" w:type="dxa"/>
            <w:shd w:val="clear" w:color="auto" w:fill="FFFFFF"/>
          </w:tcPr>
          <w:p w14:paraId="646B7C7B" w14:textId="77777777" w:rsidR="00FA2499" w:rsidRDefault="00FA2499"/>
        </w:tc>
        <w:tc>
          <w:tcPr>
            <w:tcW w:w="2160" w:type="dxa"/>
            <w:shd w:val="clear" w:color="auto" w:fill="FFFFFF"/>
          </w:tcPr>
          <w:p w14:paraId="0A9363BD" w14:textId="77777777" w:rsidR="00FA2499" w:rsidRDefault="00FA2499"/>
        </w:tc>
        <w:tc>
          <w:tcPr>
            <w:tcW w:w="4800" w:type="dxa"/>
            <w:shd w:val="clear" w:color="auto" w:fill="FFFFFF"/>
          </w:tcPr>
          <w:p w14:paraId="5365F019" w14:textId="77777777" w:rsidR="00FA2499" w:rsidRDefault="00FA2499"/>
        </w:tc>
      </w:tr>
      <w:tr w:rsidR="00FA2499" w14:paraId="6D8995C9" w14:textId="77777777">
        <w:trPr>
          <w:gridAfter w:val="1"/>
          <w:wAfter w:w="10" w:type="dxa"/>
        </w:trPr>
        <w:tc>
          <w:tcPr>
            <w:tcW w:w="200" w:type="dxa"/>
            <w:gridSpan w:val="2"/>
            <w:shd w:val="clear" w:color="auto" w:fill="7B68A8"/>
            <w:tcMar>
              <w:top w:w="0" w:type="dxa"/>
              <w:left w:w="0" w:type="dxa"/>
              <w:bottom w:w="0" w:type="dxa"/>
              <w:right w:w="0" w:type="dxa"/>
            </w:tcMar>
            <w:vAlign w:val="center"/>
          </w:tcPr>
          <w:p w14:paraId="350C2B61" w14:textId="77777777" w:rsidR="00FA2499" w:rsidRDefault="00000000">
            <w:r>
              <w:rPr>
                <w:sz w:val="16"/>
                <w:szCs w:val="16"/>
              </w:rPr>
              <w:t xml:space="preserve"> </w:t>
            </w:r>
          </w:p>
        </w:tc>
        <w:tc>
          <w:tcPr>
            <w:tcW w:w="2200" w:type="dxa"/>
            <w:shd w:val="clear" w:color="auto" w:fill="FFFFFF"/>
            <w:tcMar>
              <w:top w:w="120" w:type="dxa"/>
              <w:left w:w="160" w:type="dxa"/>
              <w:bottom w:w="120" w:type="dxa"/>
              <w:right w:w="160" w:type="dxa"/>
            </w:tcMar>
            <w:vAlign w:val="center"/>
          </w:tcPr>
          <w:p w14:paraId="2EE90201" w14:textId="77777777" w:rsidR="00FA2499" w:rsidRDefault="00000000">
            <w:pPr>
              <w:spacing w:before="40" w:after="40"/>
            </w:pPr>
            <w:r>
              <w:rPr>
                <w:b/>
                <w:bCs/>
                <w:color w:val="1B3A5C"/>
                <w:sz w:val="20"/>
                <w:szCs w:val="20"/>
              </w:rPr>
              <w:t>Instructor Course Review</w:t>
            </w:r>
          </w:p>
        </w:tc>
        <w:tc>
          <w:tcPr>
            <w:tcW w:w="2160" w:type="dxa"/>
            <w:shd w:val="clear" w:color="auto" w:fill="FFFFFF"/>
            <w:tcMar>
              <w:top w:w="120" w:type="dxa"/>
              <w:left w:w="160" w:type="dxa"/>
              <w:bottom w:w="120" w:type="dxa"/>
              <w:right w:w="160" w:type="dxa"/>
            </w:tcMar>
            <w:vAlign w:val="center"/>
          </w:tcPr>
          <w:p w14:paraId="3BFEAB11" w14:textId="77777777" w:rsidR="00FA2499" w:rsidRDefault="00000000">
            <w:pPr>
              <w:spacing w:before="40" w:after="40"/>
            </w:pPr>
            <w:r>
              <w:rPr>
                <w:color w:val="666666"/>
                <w:sz w:val="20"/>
                <w:szCs w:val="20"/>
              </w:rPr>
              <w:t>[Apr – May 2026]</w:t>
            </w:r>
          </w:p>
        </w:tc>
        <w:tc>
          <w:tcPr>
            <w:tcW w:w="4800" w:type="dxa"/>
            <w:shd w:val="clear" w:color="auto" w:fill="FFFFFF"/>
            <w:tcMar>
              <w:top w:w="120" w:type="dxa"/>
              <w:left w:w="160" w:type="dxa"/>
              <w:bottom w:w="120" w:type="dxa"/>
              <w:right w:w="160" w:type="dxa"/>
            </w:tcMar>
            <w:vAlign w:val="center"/>
          </w:tcPr>
          <w:p w14:paraId="33F588B0" w14:textId="77777777" w:rsidR="00FA2499" w:rsidRDefault="00000000">
            <w:pPr>
              <w:spacing w:before="40" w:after="40"/>
            </w:pPr>
            <w:r>
              <w:rPr>
                <w:color w:val="1A1A1A"/>
                <w:sz w:val="20"/>
                <w:szCs w:val="20"/>
              </w:rPr>
              <w:t>Individual instructors review their own course content. Remove outdated materials; remediate content to be carried forward. Consult TILT and accessibility FAQ resources as needed.</w:t>
            </w:r>
          </w:p>
        </w:tc>
      </w:tr>
      <w:tr w:rsidR="00FA2499" w14:paraId="14ED0D35" w14:textId="77777777">
        <w:trPr>
          <w:gridAfter w:val="1"/>
          <w:wAfter w:w="10" w:type="dxa"/>
          <w:trHeight w:hRule="exact" w:val="60"/>
        </w:trPr>
        <w:tc>
          <w:tcPr>
            <w:tcW w:w="200" w:type="dxa"/>
            <w:gridSpan w:val="2"/>
            <w:shd w:val="clear" w:color="auto" w:fill="FFFFFF"/>
          </w:tcPr>
          <w:p w14:paraId="524435A8" w14:textId="77777777" w:rsidR="00FA2499" w:rsidRDefault="00FA2499"/>
        </w:tc>
        <w:tc>
          <w:tcPr>
            <w:tcW w:w="2200" w:type="dxa"/>
            <w:shd w:val="clear" w:color="auto" w:fill="FFFFFF"/>
          </w:tcPr>
          <w:p w14:paraId="1DCB4E9E" w14:textId="77777777" w:rsidR="00FA2499" w:rsidRDefault="00FA2499"/>
        </w:tc>
        <w:tc>
          <w:tcPr>
            <w:tcW w:w="2160" w:type="dxa"/>
            <w:shd w:val="clear" w:color="auto" w:fill="FFFFFF"/>
          </w:tcPr>
          <w:p w14:paraId="1B93BC0C" w14:textId="77777777" w:rsidR="00FA2499" w:rsidRDefault="00FA2499"/>
        </w:tc>
        <w:tc>
          <w:tcPr>
            <w:tcW w:w="4800" w:type="dxa"/>
            <w:shd w:val="clear" w:color="auto" w:fill="FFFFFF"/>
          </w:tcPr>
          <w:p w14:paraId="0DA1D820" w14:textId="77777777" w:rsidR="00FA2499" w:rsidRDefault="00FA2499"/>
        </w:tc>
      </w:tr>
      <w:tr w:rsidR="00FA2499" w14:paraId="3DB6E97A" w14:textId="77777777">
        <w:trPr>
          <w:gridAfter w:val="1"/>
          <w:wAfter w:w="10" w:type="dxa"/>
        </w:trPr>
        <w:tc>
          <w:tcPr>
            <w:tcW w:w="200" w:type="dxa"/>
            <w:gridSpan w:val="2"/>
            <w:shd w:val="clear" w:color="auto" w:fill="E07C4F"/>
            <w:tcMar>
              <w:top w:w="0" w:type="dxa"/>
              <w:left w:w="0" w:type="dxa"/>
              <w:bottom w:w="0" w:type="dxa"/>
              <w:right w:w="0" w:type="dxa"/>
            </w:tcMar>
            <w:vAlign w:val="center"/>
          </w:tcPr>
          <w:p w14:paraId="65206BF7" w14:textId="77777777" w:rsidR="00FA2499" w:rsidRDefault="00000000">
            <w:r>
              <w:rPr>
                <w:sz w:val="16"/>
                <w:szCs w:val="16"/>
              </w:rPr>
              <w:t xml:space="preserve"> </w:t>
            </w:r>
          </w:p>
        </w:tc>
        <w:tc>
          <w:tcPr>
            <w:tcW w:w="2200" w:type="dxa"/>
            <w:shd w:val="clear" w:color="auto" w:fill="FFFFFF"/>
            <w:tcMar>
              <w:top w:w="120" w:type="dxa"/>
              <w:left w:w="160" w:type="dxa"/>
              <w:bottom w:w="120" w:type="dxa"/>
              <w:right w:w="160" w:type="dxa"/>
            </w:tcMar>
            <w:vAlign w:val="center"/>
          </w:tcPr>
          <w:p w14:paraId="27DAC809" w14:textId="77777777" w:rsidR="00FA2499" w:rsidRDefault="00000000">
            <w:pPr>
              <w:spacing w:before="40" w:after="40"/>
            </w:pPr>
            <w:r>
              <w:rPr>
                <w:b/>
                <w:bCs/>
                <w:color w:val="1B3A5C"/>
                <w:sz w:val="20"/>
                <w:szCs w:val="20"/>
              </w:rPr>
              <w:t>Course Copy Cycle</w:t>
            </w:r>
          </w:p>
        </w:tc>
        <w:tc>
          <w:tcPr>
            <w:tcW w:w="2160" w:type="dxa"/>
            <w:shd w:val="clear" w:color="auto" w:fill="FFFFFF"/>
            <w:tcMar>
              <w:top w:w="120" w:type="dxa"/>
              <w:left w:w="160" w:type="dxa"/>
              <w:bottom w:w="120" w:type="dxa"/>
              <w:right w:w="160" w:type="dxa"/>
            </w:tcMar>
            <w:vAlign w:val="center"/>
          </w:tcPr>
          <w:p w14:paraId="0F38CAED" w14:textId="77777777" w:rsidR="00FA2499" w:rsidRDefault="00000000">
            <w:pPr>
              <w:spacing w:before="40" w:after="40"/>
            </w:pPr>
            <w:r>
              <w:rPr>
                <w:color w:val="666666"/>
                <w:sz w:val="20"/>
                <w:szCs w:val="20"/>
              </w:rPr>
              <w:t>[May – Aug 2026]</w:t>
            </w:r>
          </w:p>
        </w:tc>
        <w:tc>
          <w:tcPr>
            <w:tcW w:w="4800" w:type="dxa"/>
            <w:shd w:val="clear" w:color="auto" w:fill="FFFFFF"/>
            <w:tcMar>
              <w:top w:w="120" w:type="dxa"/>
              <w:left w:w="160" w:type="dxa"/>
              <w:bottom w:w="120" w:type="dxa"/>
              <w:right w:w="160" w:type="dxa"/>
            </w:tcMar>
            <w:vAlign w:val="center"/>
          </w:tcPr>
          <w:p w14:paraId="10CDAEC8" w14:textId="77777777" w:rsidR="00FA2499" w:rsidRDefault="00000000">
            <w:pPr>
              <w:spacing w:before="40" w:after="40"/>
            </w:pPr>
            <w:r>
              <w:rPr>
                <w:color w:val="1A1A1A"/>
                <w:sz w:val="20"/>
                <w:szCs w:val="20"/>
              </w:rPr>
              <w:t>Copy remediated master shells and instructor courses into Summer and Fall 2026 sections. Verify that copied courses retain accessibility features. New sections launch with accessible content from day one.</w:t>
            </w:r>
          </w:p>
        </w:tc>
      </w:tr>
      <w:tr w:rsidR="00FA2499" w14:paraId="59FDE350" w14:textId="77777777">
        <w:trPr>
          <w:gridAfter w:val="1"/>
          <w:wAfter w:w="10" w:type="dxa"/>
          <w:trHeight w:hRule="exact" w:val="60"/>
        </w:trPr>
        <w:tc>
          <w:tcPr>
            <w:tcW w:w="200" w:type="dxa"/>
            <w:gridSpan w:val="2"/>
            <w:shd w:val="clear" w:color="auto" w:fill="FFFFFF"/>
          </w:tcPr>
          <w:p w14:paraId="2D27B75A" w14:textId="77777777" w:rsidR="00FA2499" w:rsidRDefault="00FA2499"/>
        </w:tc>
        <w:tc>
          <w:tcPr>
            <w:tcW w:w="2200" w:type="dxa"/>
            <w:shd w:val="clear" w:color="auto" w:fill="FFFFFF"/>
          </w:tcPr>
          <w:p w14:paraId="67B1BCDA" w14:textId="77777777" w:rsidR="00FA2499" w:rsidRDefault="00FA2499"/>
        </w:tc>
        <w:tc>
          <w:tcPr>
            <w:tcW w:w="2160" w:type="dxa"/>
            <w:shd w:val="clear" w:color="auto" w:fill="FFFFFF"/>
          </w:tcPr>
          <w:p w14:paraId="28A6EA23" w14:textId="77777777" w:rsidR="00FA2499" w:rsidRDefault="00FA2499"/>
        </w:tc>
        <w:tc>
          <w:tcPr>
            <w:tcW w:w="4800" w:type="dxa"/>
            <w:shd w:val="clear" w:color="auto" w:fill="FFFFFF"/>
          </w:tcPr>
          <w:p w14:paraId="26710C9E" w14:textId="77777777" w:rsidR="00FA2499" w:rsidRDefault="00FA2499"/>
        </w:tc>
      </w:tr>
      <w:tr w:rsidR="00FA2499" w14:paraId="59246362" w14:textId="77777777">
        <w:trPr>
          <w:gridAfter w:val="1"/>
          <w:wAfter w:w="10" w:type="dxa"/>
        </w:trPr>
        <w:tc>
          <w:tcPr>
            <w:tcW w:w="200" w:type="dxa"/>
            <w:gridSpan w:val="2"/>
            <w:shd w:val="clear" w:color="auto" w:fill="4AADBC"/>
            <w:tcMar>
              <w:top w:w="0" w:type="dxa"/>
              <w:left w:w="0" w:type="dxa"/>
              <w:bottom w:w="0" w:type="dxa"/>
              <w:right w:w="0" w:type="dxa"/>
            </w:tcMar>
            <w:vAlign w:val="center"/>
          </w:tcPr>
          <w:p w14:paraId="7C064CB3" w14:textId="77777777" w:rsidR="00FA2499" w:rsidRDefault="00000000">
            <w:r>
              <w:rPr>
                <w:sz w:val="16"/>
                <w:szCs w:val="16"/>
              </w:rPr>
              <w:t xml:space="preserve"> </w:t>
            </w:r>
          </w:p>
        </w:tc>
        <w:tc>
          <w:tcPr>
            <w:tcW w:w="2200" w:type="dxa"/>
            <w:shd w:val="clear" w:color="auto" w:fill="FFFFFF"/>
            <w:tcMar>
              <w:top w:w="120" w:type="dxa"/>
              <w:left w:w="160" w:type="dxa"/>
              <w:bottom w:w="120" w:type="dxa"/>
              <w:right w:w="160" w:type="dxa"/>
            </w:tcMar>
            <w:vAlign w:val="center"/>
          </w:tcPr>
          <w:p w14:paraId="18B96AA9" w14:textId="77777777" w:rsidR="00FA2499" w:rsidRDefault="00000000">
            <w:pPr>
              <w:spacing w:before="40" w:after="40"/>
            </w:pPr>
            <w:r>
              <w:rPr>
                <w:b/>
                <w:bCs/>
                <w:color w:val="1B3A5C"/>
                <w:sz w:val="20"/>
                <w:szCs w:val="20"/>
              </w:rPr>
              <w:t>Ongoing Support</w:t>
            </w:r>
          </w:p>
        </w:tc>
        <w:tc>
          <w:tcPr>
            <w:tcW w:w="2160" w:type="dxa"/>
            <w:shd w:val="clear" w:color="auto" w:fill="FFFFFF"/>
            <w:tcMar>
              <w:top w:w="120" w:type="dxa"/>
              <w:left w:w="160" w:type="dxa"/>
              <w:bottom w:w="120" w:type="dxa"/>
              <w:right w:w="160" w:type="dxa"/>
            </w:tcMar>
            <w:vAlign w:val="center"/>
          </w:tcPr>
          <w:p w14:paraId="1C3DA3FF" w14:textId="77777777" w:rsidR="00FA2499" w:rsidRDefault="00000000">
            <w:pPr>
              <w:spacing w:before="40" w:after="40"/>
            </w:pPr>
            <w:r>
              <w:rPr>
                <w:color w:val="666666"/>
                <w:sz w:val="20"/>
                <w:szCs w:val="20"/>
              </w:rPr>
              <w:t>[Fall 2026 –]</w:t>
            </w:r>
          </w:p>
        </w:tc>
        <w:tc>
          <w:tcPr>
            <w:tcW w:w="4800" w:type="dxa"/>
            <w:shd w:val="clear" w:color="auto" w:fill="FFFFFF"/>
            <w:tcMar>
              <w:top w:w="120" w:type="dxa"/>
              <w:left w:w="160" w:type="dxa"/>
              <w:bottom w:w="120" w:type="dxa"/>
              <w:right w:w="160" w:type="dxa"/>
            </w:tcMar>
            <w:vAlign w:val="center"/>
          </w:tcPr>
          <w:p w14:paraId="03C935DF" w14:textId="77777777" w:rsidR="00FA2499" w:rsidRDefault="00000000">
            <w:pPr>
              <w:spacing w:before="40" w:after="40"/>
            </w:pPr>
            <w:r>
              <w:rPr>
                <w:color w:val="1A1A1A"/>
                <w:sz w:val="20"/>
                <w:szCs w:val="20"/>
              </w:rPr>
              <w:t>TILT provides continued support via consultations, workshops, and online resources. Maintain the accessible syllabus template. Monitor and address new accessibility issues as they arise.</w:t>
            </w:r>
          </w:p>
        </w:tc>
      </w:tr>
      <w:tr w:rsidR="00FA2499" w14:paraId="261DF37C" w14:textId="77777777">
        <w:trPr>
          <w:gridBefore w:val="1"/>
          <w:wBefore w:w="10" w:type="dxa"/>
        </w:trPr>
        <w:tc>
          <w:tcPr>
            <w:tcW w:w="9360" w:type="dxa"/>
            <w:gridSpan w:val="5"/>
            <w:tcBorders>
              <w:top w:val="single" w:sz="1" w:space="0" w:color="C0392B"/>
              <w:left w:val="single" w:sz="12" w:space="0" w:color="C0392B"/>
              <w:bottom w:val="single" w:sz="1" w:space="0" w:color="C0392B"/>
              <w:right w:val="single" w:sz="1" w:space="0" w:color="C0392B"/>
            </w:tcBorders>
            <w:shd w:val="clear" w:color="auto" w:fill="FDF2F2"/>
            <w:tcMar>
              <w:top w:w="160" w:type="dxa"/>
              <w:left w:w="240" w:type="dxa"/>
              <w:bottom w:w="160" w:type="dxa"/>
              <w:right w:w="240" w:type="dxa"/>
            </w:tcMar>
          </w:tcPr>
          <w:p w14:paraId="6405895B" w14:textId="77777777" w:rsidR="00FA2499" w:rsidRDefault="00000000">
            <w:pPr>
              <w:spacing w:after="100"/>
            </w:pPr>
            <w:r>
              <w:rPr>
                <w:b/>
                <w:bCs/>
                <w:color w:val="C0392B"/>
              </w:rPr>
              <w:t>What This Rule Means for Course Content</w:t>
            </w:r>
          </w:p>
          <w:p w14:paraId="43735155" w14:textId="77777777" w:rsidR="00FA2499" w:rsidRDefault="00000000">
            <w:pPr>
              <w:spacing w:after="100"/>
            </w:pPr>
            <w:r>
              <w:rPr>
                <w:color w:val="1A1A1A"/>
              </w:rPr>
              <w:t>The DOJ’s Title II rule is clear: there is no exception for educational course content delivered through a learning management system. All course materials in Blackboard—documents, videos, pages, assignments, and embedded content—must conform to WCAG 2.1 Level AA.</w:t>
            </w:r>
          </w:p>
          <w:p w14:paraId="3A040B96" w14:textId="77777777" w:rsidR="00FA2499" w:rsidRDefault="00000000">
            <w:pPr>
              <w:spacing w:after="100"/>
            </w:pPr>
            <w:r>
              <w:rPr>
                <w:color w:val="1A1A1A"/>
              </w:rPr>
              <w:t xml:space="preserve">While the rule does provide narrow exceptions for certain pre-existing electronic documents (e.g., PDFs, spreadsheets, and presentations posted before the compliance </w:t>
            </w:r>
            <w:r>
              <w:rPr>
                <w:color w:val="1A1A1A"/>
              </w:rPr>
              <w:lastRenderedPageBreak/>
              <w:t>date that are not actively used for services or programs), these exceptions do not apply to content that is edited, updated, or reposted after the compliance date. Once a pre-existing document is modified in any way, it must meet the accessibility standard.</w:t>
            </w:r>
          </w:p>
          <w:p w14:paraId="483D4DF0" w14:textId="77777777" w:rsidR="00FA2499" w:rsidRDefault="00000000">
            <w:pPr>
              <w:spacing w:after="100"/>
            </w:pPr>
            <w:r>
              <w:rPr>
                <w:color w:val="1A1A1A"/>
              </w:rPr>
              <w:t>In practice, this means that routine course maintenance—updating a syllabus, replacing a reading, uploading a new video, revising assignment instructions—creates content that must be accessible. Every edit after the compliance date carries accessibility obligations.</w:t>
            </w:r>
          </w:p>
          <w:p w14:paraId="72E3BEDC" w14:textId="77777777" w:rsidR="00FA2499" w:rsidRDefault="00000000">
            <w:r>
              <w:rPr>
                <w:b/>
                <w:bCs/>
                <w:color w:val="1A1A1A"/>
              </w:rPr>
              <w:t>This is why remediating courses before the copy cycle is critical. Cleaning up content now—rather than carrying forward inaccessible materials and editing them later—prevents compliance issues from compounding with each routine update.</w:t>
            </w:r>
          </w:p>
        </w:tc>
      </w:tr>
    </w:tbl>
    <w:p w14:paraId="6612B5BC" w14:textId="77777777" w:rsidR="00FA2499" w:rsidRDefault="00000000">
      <w:pPr>
        <w:pStyle w:val="Heading1"/>
      </w:pPr>
      <w:r>
        <w:lastRenderedPageBreak/>
        <w:t>Maintaining Accessibility Going Forward</w:t>
      </w:r>
    </w:p>
    <w:p w14:paraId="76D2D764" w14:textId="55FD4B27" w:rsidR="00FA2499" w:rsidRDefault="00000000">
      <w:pPr>
        <w:spacing w:before="80" w:after="120"/>
      </w:pPr>
      <w:r>
        <w:rPr>
          <w:color w:val="1A1A1A"/>
        </w:rPr>
        <w:t xml:space="preserve">Achieving accessibility is not a one-time effort. Once a course or syllabus template has been made accessible, everyday editing actions can unintentionally reintroduce barriers. TILT has already published a range of accessibility resources on the </w:t>
      </w:r>
      <w:proofErr w:type="spellStart"/>
      <w:r>
        <w:rPr>
          <w:color w:val="1A1A1A"/>
        </w:rPr>
        <w:t>TigerLearn</w:t>
      </w:r>
      <w:proofErr w:type="spellEnd"/>
      <w:r>
        <w:rPr>
          <w:color w:val="1A1A1A"/>
        </w:rPr>
        <w:t xml:space="preserve"> blog at </w:t>
      </w:r>
      <w:hyperlink r:id="rId7" w:history="1">
        <w:r w:rsidR="00FA2499">
          <w:rPr>
            <w:rStyle w:val="Hyperlink"/>
          </w:rPr>
          <w:t>tigerlearn.fh</w:t>
        </w:r>
        <w:r w:rsidR="00FA2499">
          <w:rPr>
            <w:rStyle w:val="Hyperlink"/>
          </w:rPr>
          <w:t>s</w:t>
        </w:r>
        <w:r w:rsidR="00FA2499">
          <w:rPr>
            <w:rStyle w:val="Hyperlink"/>
          </w:rPr>
          <w:t>u.edu</w:t>
        </w:r>
      </w:hyperlink>
      <w:r>
        <w:rPr>
          <w:color w:val="1A1A1A"/>
        </w:rPr>
        <w:t xml:space="preserve">, including guidance on common accessibility </w:t>
      </w:r>
      <w:r w:rsidR="00182A47">
        <w:rPr>
          <w:color w:val="1A1A1A"/>
        </w:rPr>
        <w:t xml:space="preserve">violations </w:t>
      </w:r>
      <w:r>
        <w:rPr>
          <w:color w:val="1A1A1A"/>
        </w:rPr>
        <w:t xml:space="preserve">(such as improper heading structure, missing image alt text, or inaccessible table formatting). As departmental outreach meetings generate new questions and common concerns, TILT will continue to expand these resources, including a centralized FAQ informed directly by faculty feedback. The </w:t>
      </w:r>
      <w:proofErr w:type="spellStart"/>
      <w:r>
        <w:rPr>
          <w:color w:val="1A1A1A"/>
        </w:rPr>
        <w:t>TigerLearn</w:t>
      </w:r>
      <w:proofErr w:type="spellEnd"/>
      <w:r>
        <w:rPr>
          <w:color w:val="1A1A1A"/>
        </w:rPr>
        <w:t xml:space="preserve"> blog should be considered the primary, up-to-date reference point for accessibility guidance at FHSU.</w:t>
      </w:r>
    </w:p>
    <w:p w14:paraId="119E1F53" w14:textId="77777777" w:rsidR="00FA2499" w:rsidRDefault="00000000">
      <w:pPr>
        <w:pStyle w:val="Heading1"/>
      </w:pPr>
      <w:r>
        <w:t>Support &amp; Resources</w:t>
      </w:r>
    </w:p>
    <w:p w14:paraId="7A2480B3" w14:textId="77777777" w:rsidR="00FA2499" w:rsidRDefault="00000000">
      <w:pPr>
        <w:spacing w:before="80" w:after="80"/>
      </w:pPr>
      <w:r>
        <w:rPr>
          <w:color w:val="1A1A1A"/>
        </w:rPr>
        <w:t>TILT is available to support departments, program directors, and individual faculty throughout this process. Support includes one-on-one consultations, departmental outreach meetings, and Blackboard Ally report walkthroughs.</w:t>
      </w:r>
    </w:p>
    <w:p w14:paraId="656A5327" w14:textId="3BD2ADDA" w:rsidR="00FA2499" w:rsidRDefault="00000000">
      <w:pPr>
        <w:spacing w:before="80" w:after="80"/>
      </w:pPr>
      <w:r>
        <w:rPr>
          <w:color w:val="1A1A1A"/>
        </w:rPr>
        <w:t xml:space="preserve">Additional resources available through Open Education Week (hosted by </w:t>
      </w:r>
      <w:r w:rsidR="0035037C">
        <w:rPr>
          <w:color w:val="1A1A1A"/>
        </w:rPr>
        <w:t>Tebo</w:t>
      </w:r>
      <w:r>
        <w:rPr>
          <w:color w:val="1A1A1A"/>
        </w:rPr>
        <w:t xml:space="preserve"> </w:t>
      </w:r>
      <w:r w:rsidR="0035037C">
        <w:rPr>
          <w:color w:val="1A1A1A"/>
        </w:rPr>
        <w:t>L</w:t>
      </w:r>
      <w:r>
        <w:rPr>
          <w:color w:val="1A1A1A"/>
        </w:rPr>
        <w:t>ibrary</w:t>
      </w:r>
      <w:r w:rsidR="0035037C">
        <w:rPr>
          <w:color w:val="1A1A1A"/>
        </w:rPr>
        <w:t>, TILT,</w:t>
      </w:r>
      <w:r>
        <w:rPr>
          <w:color w:val="1A1A1A"/>
        </w:rPr>
        <w:t xml:space="preserve"> and OER committee) include a 90-minute </w:t>
      </w:r>
      <w:r w:rsidR="0035037C">
        <w:rPr>
          <w:color w:val="1A1A1A"/>
        </w:rPr>
        <w:t>March 4</w:t>
      </w:r>
      <w:r w:rsidR="0035037C" w:rsidRPr="0035037C">
        <w:rPr>
          <w:color w:val="1A1A1A"/>
          <w:vertAlign w:val="superscript"/>
        </w:rPr>
        <w:t>th</w:t>
      </w:r>
      <w:r w:rsidR="0035037C">
        <w:rPr>
          <w:color w:val="1A1A1A"/>
        </w:rPr>
        <w:t xml:space="preserve"> webinar on </w:t>
      </w:r>
      <w:r>
        <w:rPr>
          <w:color w:val="1A1A1A"/>
        </w:rPr>
        <w:t>accessibility</w:t>
      </w:r>
      <w:r w:rsidR="0035037C">
        <w:rPr>
          <w:color w:val="1A1A1A"/>
        </w:rPr>
        <w:t xml:space="preserve"> and open educational resources</w:t>
      </w:r>
      <w:r>
        <w:rPr>
          <w:color w:val="1A1A1A"/>
        </w:rPr>
        <w:t xml:space="preserve"> (recording will be available) and a follow-up discussion session where departments can ask questions about accessibility expectations.</w:t>
      </w:r>
      <w:r w:rsidR="0035037C">
        <w:rPr>
          <w:color w:val="1A1A1A"/>
        </w:rPr>
        <w:t xml:space="preserve"> (</w:t>
      </w:r>
      <w:hyperlink r:id="rId8" w:history="1">
        <w:r w:rsidR="0035037C" w:rsidRPr="0035037C">
          <w:rPr>
            <w:rStyle w:val="Hyperlink"/>
          </w:rPr>
          <w:t>bit.ly/</w:t>
        </w:r>
        <w:proofErr w:type="spellStart"/>
        <w:r w:rsidR="0035037C" w:rsidRPr="0035037C">
          <w:rPr>
            <w:rStyle w:val="Hyperlink"/>
          </w:rPr>
          <w:t>OpenEdWebinars</w:t>
        </w:r>
        <w:proofErr w:type="spellEnd"/>
      </w:hyperlink>
      <w:r w:rsidR="0035037C">
        <w:rPr>
          <w:color w:val="1A1A1A"/>
        </w:rPr>
        <w:t>)</w:t>
      </w:r>
    </w:p>
    <w:p w14:paraId="3B04F03C" w14:textId="77777777" w:rsidR="00FA2499" w:rsidRDefault="00000000">
      <w:pPr>
        <w:spacing w:before="120" w:after="80"/>
        <w:rPr>
          <w:color w:val="1A1A1A"/>
        </w:rPr>
      </w:pPr>
      <w:r>
        <w:rPr>
          <w:color w:val="1A1A1A"/>
        </w:rPr>
        <w:t xml:space="preserve">To schedule a departmental meeting or request support, contact the TILT team at </w:t>
      </w:r>
      <w:hyperlink r:id="rId9" w:history="1">
        <w:r w:rsidR="00FA2499">
          <w:rPr>
            <w:rStyle w:val="Hyperlink"/>
          </w:rPr>
          <w:t>tilt@fhsu.edu</w:t>
        </w:r>
      </w:hyperlink>
      <w:r>
        <w:rPr>
          <w:color w:val="1A1A1A"/>
        </w:rPr>
        <w:t>.</w:t>
      </w:r>
    </w:p>
    <w:p w14:paraId="36EDDDD0" w14:textId="77777777" w:rsidR="00406316" w:rsidRDefault="00406316">
      <w:pPr>
        <w:spacing w:before="120" w:after="80"/>
      </w:pPr>
    </w:p>
    <w:p w14:paraId="2F4168EF" w14:textId="77777777" w:rsidR="00406316" w:rsidRDefault="00406316" w:rsidP="00D862B9">
      <w:pPr>
        <w:spacing w:before="80" w:after="200"/>
        <w:rPr>
          <w:b/>
          <w:bCs/>
          <w:color w:val="1B3A5C"/>
          <w:sz w:val="28"/>
          <w:szCs w:val="28"/>
        </w:rPr>
      </w:pPr>
      <w:r w:rsidRPr="00406316">
        <w:rPr>
          <w:b/>
          <w:bCs/>
          <w:color w:val="1B3A5C"/>
          <w:sz w:val="28"/>
          <w:szCs w:val="28"/>
        </w:rPr>
        <w:t>Using Blackboard Ally to Identify and Fix Accessibility Issues</w:t>
      </w:r>
    </w:p>
    <w:p w14:paraId="4DD41FAA" w14:textId="307D021C" w:rsidR="00D862B9" w:rsidRPr="00D862B9" w:rsidRDefault="00D862B9" w:rsidP="00D862B9">
      <w:pPr>
        <w:spacing w:before="80" w:after="200"/>
        <w:rPr>
          <w:color w:val="1A1A1A"/>
        </w:rPr>
      </w:pPr>
      <w:r w:rsidRPr="00D862B9">
        <w:rPr>
          <w:color w:val="1A1A1A"/>
        </w:rPr>
        <w:t>B</w:t>
      </w:r>
      <w:r w:rsidRPr="00D862B9">
        <w:rPr>
          <w:color w:val="1A1A1A"/>
        </w:rPr>
        <w:t xml:space="preserve">lackboard Ally is already integrated into every course at FHSU and will be an essential tool in this remediation effort. Ally automatically scans all course content — documents, presentations, PDFs, images, and content created in the Blackboard editor — and provides file-level accessibility feedback directly within the course. Importantly, Ally does more than identify problems: it provides step-by-step guidance for fixing each issue and generates alternative formats (such as audio, tagged PDF, HTML, and electronic braille) that students can download immediately. This means that even before a file is fully remediated, students already have access to more usable versions of the content. Faculty do not need to install anything or take </w:t>
      </w:r>
      <w:r w:rsidRPr="00D862B9">
        <w:rPr>
          <w:color w:val="1A1A1A"/>
        </w:rPr>
        <w:lastRenderedPageBreak/>
        <w:t xml:space="preserve">any special action to activate Ally — it is already running. The colored indicators next to course files </w:t>
      </w:r>
      <w:r w:rsidR="00406316">
        <w:rPr>
          <w:color w:val="1A1A1A"/>
        </w:rPr>
        <w:t>serv</w:t>
      </w:r>
      <w:r w:rsidRPr="00D862B9">
        <w:rPr>
          <w:color w:val="1A1A1A"/>
        </w:rPr>
        <w:t xml:space="preserve">e </w:t>
      </w:r>
      <w:r w:rsidR="00406316">
        <w:rPr>
          <w:color w:val="1A1A1A"/>
        </w:rPr>
        <w:t>as a</w:t>
      </w:r>
      <w:r w:rsidRPr="00D862B9">
        <w:rPr>
          <w:color w:val="1A1A1A"/>
        </w:rPr>
        <w:t xml:space="preserve"> starting point for understanding where accessibility issues exist and how to resolve them.</w:t>
      </w:r>
    </w:p>
    <w:p w14:paraId="3E53127A" w14:textId="4F3560EC" w:rsidR="00D862B9" w:rsidRPr="00D862B9" w:rsidRDefault="00D862B9" w:rsidP="00D862B9">
      <w:pPr>
        <w:spacing w:before="80" w:after="200"/>
        <w:rPr>
          <w:color w:val="1A1A1A"/>
        </w:rPr>
      </w:pPr>
      <w:r w:rsidRPr="00D862B9">
        <w:rPr>
          <w:b/>
          <w:bCs/>
          <w:color w:val="1A1A1A"/>
        </w:rPr>
        <w:t>Blackboard Ally uses a color-coded indicator next to each file</w:t>
      </w:r>
      <w:r w:rsidRPr="00D862B9">
        <w:rPr>
          <w:color w:val="1A1A1A"/>
        </w:rPr>
        <w:t xml:space="preserve"> — red (0–33%), orange (34–66%), light green (67–99%), and dark green (100%) — based on the number and severity of detected issues. These indicators are visible only to instructors, not students. The course accessibility report further classifies each issue by severity: Severe, Major, or Minor.</w:t>
      </w:r>
    </w:p>
    <w:p w14:paraId="13F8A9D7" w14:textId="77777777" w:rsidR="00D862B9" w:rsidRPr="00D862B9" w:rsidRDefault="00D862B9" w:rsidP="00D862B9">
      <w:pPr>
        <w:spacing w:before="80" w:after="200"/>
        <w:rPr>
          <w:color w:val="1A1A1A"/>
        </w:rPr>
      </w:pPr>
      <w:r w:rsidRPr="00D862B9">
        <w:rPr>
          <w:b/>
          <w:bCs/>
          <w:color w:val="1A1A1A"/>
        </w:rPr>
        <w:t>Severe issues</w:t>
      </w:r>
      <w:r w:rsidRPr="00D862B9">
        <w:rPr>
          <w:color w:val="1A1A1A"/>
        </w:rPr>
        <w:t xml:space="preserve"> represent the greatest barriers to access and should be addressed first. These include scanned PDFs or images of text that cannot be read by screen readers, and password-protected files that block assistive technologies entirely. A file flagged with severe issues typically shows a red indicator.</w:t>
      </w:r>
    </w:p>
    <w:p w14:paraId="45985693" w14:textId="77777777" w:rsidR="00D862B9" w:rsidRPr="00D862B9" w:rsidRDefault="00D862B9" w:rsidP="00D862B9">
      <w:pPr>
        <w:spacing w:before="80" w:after="200"/>
        <w:rPr>
          <w:color w:val="1A1A1A"/>
        </w:rPr>
      </w:pPr>
      <w:r w:rsidRPr="00D862B9">
        <w:rPr>
          <w:b/>
          <w:bCs/>
          <w:color w:val="1A1A1A"/>
        </w:rPr>
        <w:t>Major issues</w:t>
      </w:r>
      <w:r w:rsidRPr="00D862B9">
        <w:rPr>
          <w:color w:val="1A1A1A"/>
        </w:rPr>
        <w:t xml:space="preserve"> significantly affect usability and are the most common flags faculty will encounter. These include missing alternative text on images, untagged PDFs, tables without column headers, poor color contrast, empty headings, videos without captions, and broken links. Major issues are the primary drivers of orange and low-green scores.</w:t>
      </w:r>
    </w:p>
    <w:p w14:paraId="003E2B75" w14:textId="77777777" w:rsidR="00D862B9" w:rsidRPr="00D862B9" w:rsidRDefault="00D862B9" w:rsidP="00D862B9">
      <w:pPr>
        <w:spacing w:before="80" w:after="200"/>
        <w:rPr>
          <w:color w:val="1A1A1A"/>
        </w:rPr>
      </w:pPr>
      <w:r w:rsidRPr="00D862B9">
        <w:rPr>
          <w:b/>
          <w:bCs/>
          <w:color w:val="1A1A1A"/>
        </w:rPr>
        <w:t>Minor issues</w:t>
      </w:r>
      <w:r w:rsidRPr="00D862B9">
        <w:rPr>
          <w:color w:val="1A1A1A"/>
        </w:rPr>
        <w:t xml:space="preserve"> are real but </w:t>
      </w:r>
      <w:proofErr w:type="gramStart"/>
      <w:r w:rsidRPr="00D862B9">
        <w:rPr>
          <w:color w:val="1A1A1A"/>
        </w:rPr>
        <w:t>lower-priority</w:t>
      </w:r>
      <w:proofErr w:type="gramEnd"/>
      <w:r w:rsidRPr="00D862B9">
        <w:rPr>
          <w:color w:val="1A1A1A"/>
        </w:rPr>
        <w:t>. These include headings that don't start at H1, missing document titles, and missing language identification. Fixing these improves the overall score and polish of a document but they are unlikely to prevent a student from accessing the content.</w:t>
      </w:r>
    </w:p>
    <w:p w14:paraId="6C15EA1D" w14:textId="77777777" w:rsidR="00D862B9" w:rsidRPr="00D862B9" w:rsidRDefault="00D862B9" w:rsidP="00D862B9">
      <w:pPr>
        <w:spacing w:before="80" w:after="200"/>
        <w:rPr>
          <w:color w:val="1A1A1A"/>
        </w:rPr>
      </w:pPr>
      <w:r w:rsidRPr="00D862B9">
        <w:rPr>
          <w:color w:val="1A1A1A"/>
        </w:rPr>
        <w:t>Faculty should focus remediation efforts on severe and major issues first. A course does not need a perfect Ally score to be meaningfully accessible — but it does need to be free of barriers that prevent students from reading, navigating, or interacting with the material.</w:t>
      </w:r>
    </w:p>
    <w:p w14:paraId="3C9BA38D" w14:textId="382353D0" w:rsidR="00FA2499" w:rsidRDefault="00FA2499" w:rsidP="00D862B9">
      <w:pPr>
        <w:spacing w:before="80" w:after="200"/>
      </w:pPr>
    </w:p>
    <w:sectPr w:rsidR="00FA2499">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2ACE" w14:textId="77777777" w:rsidR="000564CC" w:rsidRDefault="000564CC">
      <w:r>
        <w:separator/>
      </w:r>
    </w:p>
  </w:endnote>
  <w:endnote w:type="continuationSeparator" w:id="0">
    <w:p w14:paraId="5075B7E4" w14:textId="77777777" w:rsidR="000564CC" w:rsidRDefault="0005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35EF" w14:textId="77777777" w:rsidR="00FA2499" w:rsidRDefault="00000000">
    <w:pPr>
      <w:pBdr>
        <w:top w:val="single" w:sz="4" w:space="4" w:color="CCCCCC"/>
      </w:pBdr>
      <w:jc w:val="center"/>
    </w:pPr>
    <w:r>
      <w:rPr>
        <w:color w:val="666666"/>
        <w:sz w:val="16"/>
        <w:szCs w:val="16"/>
      </w:rPr>
      <w:t xml:space="preserve">Fort Hays State </w:t>
    </w:r>
    <w:proofErr w:type="gramStart"/>
    <w:r>
      <w:rPr>
        <w:color w:val="666666"/>
        <w:sz w:val="16"/>
        <w:szCs w:val="16"/>
      </w:rPr>
      <w:t>University  |</w:t>
    </w:r>
    <w:proofErr w:type="gramEnd"/>
    <w:r>
      <w:rPr>
        <w:color w:val="666666"/>
        <w:sz w:val="16"/>
        <w:szCs w:val="16"/>
      </w:rPr>
      <w:t xml:space="preserve">  Page </w:t>
    </w:r>
    <w:r>
      <w:rPr>
        <w:color w:val="666666"/>
        <w:sz w:val="16"/>
        <w:szCs w:val="16"/>
      </w:rPr>
      <w:fldChar w:fldCharType="begin"/>
    </w:r>
    <w:r>
      <w:rPr>
        <w:color w:val="666666"/>
        <w:sz w:val="16"/>
        <w:szCs w:val="16"/>
      </w:rPr>
      <w:instrText>PAGE</w:instrText>
    </w:r>
    <w:r>
      <w:rPr>
        <w:color w:val="666666"/>
        <w:sz w:val="16"/>
        <w:szCs w:val="16"/>
      </w:rPr>
      <w:fldChar w:fldCharType="separate"/>
    </w:r>
    <w:r w:rsidR="00840DD7">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8078" w14:textId="77777777" w:rsidR="000564CC" w:rsidRDefault="000564CC">
      <w:r>
        <w:separator/>
      </w:r>
    </w:p>
  </w:footnote>
  <w:footnote w:type="continuationSeparator" w:id="0">
    <w:p w14:paraId="46BB34C1" w14:textId="77777777" w:rsidR="000564CC" w:rsidRDefault="0005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A774" w14:textId="77777777" w:rsidR="00FA2499" w:rsidRDefault="00000000">
    <w:pPr>
      <w:pBdr>
        <w:bottom w:val="single" w:sz="6" w:space="4" w:color="D4A843"/>
      </w:pBdr>
    </w:pPr>
    <w:proofErr w:type="gramStart"/>
    <w:r>
      <w:rPr>
        <w:color w:val="666666"/>
        <w:sz w:val="18"/>
        <w:szCs w:val="18"/>
      </w:rPr>
      <w:t>TILT  |</w:t>
    </w:r>
    <w:proofErr w:type="gramEnd"/>
    <w:r>
      <w:rPr>
        <w:color w:val="666666"/>
        <w:sz w:val="18"/>
        <w:szCs w:val="18"/>
      </w:rPr>
      <w:t xml:space="preserve">  Teaching Innovation &amp; Learning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13A"/>
    <w:multiLevelType w:val="hybridMultilevel"/>
    <w:tmpl w:val="2E003F72"/>
    <w:lvl w:ilvl="0" w:tplc="7158BB4A">
      <w:start w:val="1"/>
      <w:numFmt w:val="bullet"/>
      <w:lvlText w:val="●"/>
      <w:lvlJc w:val="left"/>
      <w:pPr>
        <w:ind w:left="720" w:hanging="360"/>
      </w:pPr>
    </w:lvl>
    <w:lvl w:ilvl="1" w:tplc="97FC1CF4">
      <w:start w:val="1"/>
      <w:numFmt w:val="bullet"/>
      <w:lvlText w:val="○"/>
      <w:lvlJc w:val="left"/>
      <w:pPr>
        <w:ind w:left="1440" w:hanging="360"/>
      </w:pPr>
    </w:lvl>
    <w:lvl w:ilvl="2" w:tplc="2F621850">
      <w:start w:val="1"/>
      <w:numFmt w:val="bullet"/>
      <w:lvlText w:val="■"/>
      <w:lvlJc w:val="left"/>
      <w:pPr>
        <w:ind w:left="2160" w:hanging="360"/>
      </w:pPr>
    </w:lvl>
    <w:lvl w:ilvl="3" w:tplc="1948247A">
      <w:start w:val="1"/>
      <w:numFmt w:val="bullet"/>
      <w:lvlText w:val="●"/>
      <w:lvlJc w:val="left"/>
      <w:pPr>
        <w:ind w:left="2880" w:hanging="360"/>
      </w:pPr>
    </w:lvl>
    <w:lvl w:ilvl="4" w:tplc="ACE45230">
      <w:start w:val="1"/>
      <w:numFmt w:val="bullet"/>
      <w:lvlText w:val="○"/>
      <w:lvlJc w:val="left"/>
      <w:pPr>
        <w:ind w:left="3600" w:hanging="360"/>
      </w:pPr>
    </w:lvl>
    <w:lvl w:ilvl="5" w:tplc="658C06B8">
      <w:start w:val="1"/>
      <w:numFmt w:val="bullet"/>
      <w:lvlText w:val="■"/>
      <w:lvlJc w:val="left"/>
      <w:pPr>
        <w:ind w:left="4320" w:hanging="360"/>
      </w:pPr>
    </w:lvl>
    <w:lvl w:ilvl="6" w:tplc="409AA892">
      <w:start w:val="1"/>
      <w:numFmt w:val="bullet"/>
      <w:lvlText w:val="●"/>
      <w:lvlJc w:val="left"/>
      <w:pPr>
        <w:ind w:left="5040" w:hanging="360"/>
      </w:pPr>
    </w:lvl>
    <w:lvl w:ilvl="7" w:tplc="74DA62F6">
      <w:start w:val="1"/>
      <w:numFmt w:val="bullet"/>
      <w:lvlText w:val="●"/>
      <w:lvlJc w:val="left"/>
      <w:pPr>
        <w:ind w:left="5760" w:hanging="360"/>
      </w:pPr>
    </w:lvl>
    <w:lvl w:ilvl="8" w:tplc="0C4E5746">
      <w:start w:val="1"/>
      <w:numFmt w:val="bullet"/>
      <w:lvlText w:val="●"/>
      <w:lvlJc w:val="left"/>
      <w:pPr>
        <w:ind w:left="6480" w:hanging="360"/>
      </w:pPr>
    </w:lvl>
  </w:abstractNum>
  <w:abstractNum w:abstractNumId="1" w15:restartNumberingAfterBreak="0">
    <w:nsid w:val="16B13949"/>
    <w:multiLevelType w:val="hybridMultilevel"/>
    <w:tmpl w:val="A48C0C92"/>
    <w:lvl w:ilvl="0" w:tplc="93105CCC">
      <w:start w:val="1"/>
      <w:numFmt w:val="bullet"/>
      <w:lvlText w:val="•"/>
      <w:lvlJc w:val="left"/>
      <w:pPr>
        <w:ind w:left="720" w:hanging="360"/>
      </w:pPr>
    </w:lvl>
    <w:lvl w:ilvl="1" w:tplc="5E541FD2">
      <w:numFmt w:val="decimal"/>
      <w:lvlText w:val=""/>
      <w:lvlJc w:val="left"/>
    </w:lvl>
    <w:lvl w:ilvl="2" w:tplc="34EA637E">
      <w:numFmt w:val="decimal"/>
      <w:lvlText w:val=""/>
      <w:lvlJc w:val="left"/>
    </w:lvl>
    <w:lvl w:ilvl="3" w:tplc="30C8B8FC">
      <w:numFmt w:val="decimal"/>
      <w:lvlText w:val=""/>
      <w:lvlJc w:val="left"/>
    </w:lvl>
    <w:lvl w:ilvl="4" w:tplc="112E82AE">
      <w:numFmt w:val="decimal"/>
      <w:lvlText w:val=""/>
      <w:lvlJc w:val="left"/>
    </w:lvl>
    <w:lvl w:ilvl="5" w:tplc="C6066934">
      <w:numFmt w:val="decimal"/>
      <w:lvlText w:val=""/>
      <w:lvlJc w:val="left"/>
    </w:lvl>
    <w:lvl w:ilvl="6" w:tplc="8BE8B128">
      <w:numFmt w:val="decimal"/>
      <w:lvlText w:val=""/>
      <w:lvlJc w:val="left"/>
    </w:lvl>
    <w:lvl w:ilvl="7" w:tplc="FE3AC12E">
      <w:numFmt w:val="decimal"/>
      <w:lvlText w:val=""/>
      <w:lvlJc w:val="left"/>
    </w:lvl>
    <w:lvl w:ilvl="8" w:tplc="BCE8B0D8">
      <w:numFmt w:val="decimal"/>
      <w:lvlText w:val=""/>
      <w:lvlJc w:val="left"/>
    </w:lvl>
  </w:abstractNum>
  <w:abstractNum w:abstractNumId="2" w15:restartNumberingAfterBreak="0">
    <w:nsid w:val="20A87D94"/>
    <w:multiLevelType w:val="hybridMultilevel"/>
    <w:tmpl w:val="F1086B5C"/>
    <w:lvl w:ilvl="0" w:tplc="2FBEF0F2">
      <w:start w:val="1"/>
      <w:numFmt w:val="decimal"/>
      <w:lvlText w:val="%1."/>
      <w:lvlJc w:val="left"/>
      <w:pPr>
        <w:ind w:left="720" w:hanging="360"/>
      </w:pPr>
    </w:lvl>
    <w:lvl w:ilvl="1" w:tplc="25B2A584">
      <w:numFmt w:val="decimal"/>
      <w:lvlText w:val=""/>
      <w:lvlJc w:val="left"/>
    </w:lvl>
    <w:lvl w:ilvl="2" w:tplc="2BD6F4B0">
      <w:numFmt w:val="decimal"/>
      <w:lvlText w:val=""/>
      <w:lvlJc w:val="left"/>
    </w:lvl>
    <w:lvl w:ilvl="3" w:tplc="A7F4CBFE">
      <w:numFmt w:val="decimal"/>
      <w:lvlText w:val=""/>
      <w:lvlJc w:val="left"/>
    </w:lvl>
    <w:lvl w:ilvl="4" w:tplc="86365CE4">
      <w:numFmt w:val="decimal"/>
      <w:lvlText w:val=""/>
      <w:lvlJc w:val="left"/>
    </w:lvl>
    <w:lvl w:ilvl="5" w:tplc="12FC8BDE">
      <w:numFmt w:val="decimal"/>
      <w:lvlText w:val=""/>
      <w:lvlJc w:val="left"/>
    </w:lvl>
    <w:lvl w:ilvl="6" w:tplc="4A866A0E">
      <w:numFmt w:val="decimal"/>
      <w:lvlText w:val=""/>
      <w:lvlJc w:val="left"/>
    </w:lvl>
    <w:lvl w:ilvl="7" w:tplc="FAE827E8">
      <w:numFmt w:val="decimal"/>
      <w:lvlText w:val=""/>
      <w:lvlJc w:val="left"/>
    </w:lvl>
    <w:lvl w:ilvl="8" w:tplc="67A834B6">
      <w:numFmt w:val="decimal"/>
      <w:lvlText w:val=""/>
      <w:lvlJc w:val="left"/>
    </w:lvl>
  </w:abstractNum>
  <w:num w:numId="1" w16cid:durableId="1018385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499"/>
    <w:rsid w:val="000564CC"/>
    <w:rsid w:val="00182A47"/>
    <w:rsid w:val="0035037C"/>
    <w:rsid w:val="00406316"/>
    <w:rsid w:val="00532F75"/>
    <w:rsid w:val="007C1B79"/>
    <w:rsid w:val="00840DD7"/>
    <w:rsid w:val="009F6D22"/>
    <w:rsid w:val="00B72A77"/>
    <w:rsid w:val="00D862B9"/>
    <w:rsid w:val="00FA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7D183"/>
  <w15:docId w15:val="{C3B55F1E-4201-3D43-9B25-EBD86131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5C"/>
      <w:sz w:val="36"/>
      <w:szCs w:val="36"/>
    </w:rPr>
  </w:style>
  <w:style w:type="paragraph" w:styleId="Heading2">
    <w:name w:val="heading 2"/>
    <w:uiPriority w:val="9"/>
    <w:unhideWhenUsed/>
    <w:qFormat/>
    <w:pPr>
      <w:spacing w:before="280" w:after="160"/>
      <w:outlineLvl w:val="1"/>
    </w:pPr>
    <w:rPr>
      <w:b/>
      <w:bCs/>
      <w:color w:val="1B3A5C"/>
      <w:sz w:val="28"/>
      <w:szCs w:val="28"/>
    </w:rPr>
  </w:style>
  <w:style w:type="paragraph" w:styleId="Heading3">
    <w:name w:val="heading 3"/>
    <w:uiPriority w:val="9"/>
    <w:semiHidden/>
    <w:unhideWhenUsed/>
    <w:qFormat/>
    <w:pPr>
      <w:spacing w:before="200" w:after="120"/>
      <w:outlineLvl w:val="2"/>
    </w:pPr>
    <w:rPr>
      <w:b/>
      <w:bCs/>
      <w:color w:val="2D6DA4"/>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182A47"/>
    <w:rPr>
      <w:color w:val="96607D" w:themeColor="followedHyperlink"/>
      <w:u w:val="single"/>
    </w:rPr>
  </w:style>
  <w:style w:type="character" w:styleId="UnresolvedMention">
    <w:name w:val="Unresolved Mention"/>
    <w:basedOn w:val="DefaultParagraphFont"/>
    <w:uiPriority w:val="99"/>
    <w:semiHidden/>
    <w:unhideWhenUsed/>
    <w:rsid w:val="0035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bit.ly/OpenEdWebin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gerlearn.fh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lt@f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1615</Words>
  <Characters>9707</Characters>
  <Application>Microsoft Office Word</Application>
  <DocSecurity>0</DocSecurity>
  <Lines>206</Lines>
  <Paragraphs>70</Paragraphs>
  <ScaleCrop>false</ScaleCrop>
  <HeadingPairs>
    <vt:vector size="2" baseType="variant">
      <vt:variant>
        <vt:lpstr>Title</vt:lpstr>
      </vt:variant>
      <vt:variant>
        <vt:i4>1</vt:i4>
      </vt:variant>
    </vt:vector>
  </HeadingPairs>
  <TitlesOfParts>
    <vt:vector size="1" baseType="lpstr">
      <vt:lpstr>Course Accessibility Remediation: A Recommended Approach for Meeting DOJ Accessibility Requirements</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Accessibility Remediation: A Recommended Approach for Meeting DOJ Accessibility Requirements</dc:title>
  <dc:creator>Un-named</dc:creator>
  <dc:description>TILT recommendations for FHSU course accessibility remediation aligned with the DOJ Title II compliance deadline of April 24, 2026.</dc:description>
  <cp:lastModifiedBy>Andrew P. Feldstein</cp:lastModifiedBy>
  <cp:revision>4</cp:revision>
  <dcterms:created xsi:type="dcterms:W3CDTF">2026-02-18T21:42:00Z</dcterms:created>
  <dcterms:modified xsi:type="dcterms:W3CDTF">2026-02-19T16:21:00Z</dcterms:modified>
</cp:coreProperties>
</file>